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9D" w:rsidRDefault="000D459D" w:rsidP="000D459D">
      <w:pPr>
        <w:spacing w:after="0" w:line="240" w:lineRule="auto"/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</w:pP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БУТАМАКС-200 максимальное удобство и эффективность!</w:t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Двойная концентрация активных компонентов!</w:t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proofErr w:type="spellStart"/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Бутафосфан</w:t>
      </w:r>
      <w:proofErr w:type="spellEnd"/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 xml:space="preserve"> с </w:t>
      </w:r>
      <w:proofErr w:type="spellStart"/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Цианокобаламином</w:t>
      </w:r>
      <w:proofErr w:type="spellEnd"/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 xml:space="preserve"> – сочетание признанное ветеринарными врачами, как одно из наиболее эффективных средств, при нарушении обмена веществ.</w:t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Область применения:</w:t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Бутамакс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200 - комплексный препарат, предназначенный для стимуляции обменных процессов и повышения общей неспецифической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резистентности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организма.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Бутамакс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200 - назначают коровам и свиньям при нарушениях обмена веществ различной этиологии, отставании в росте и развитии, а также в качестве стимулирующего и тонизирующего средства.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Активные компоненты:</w:t>
      </w:r>
    </w:p>
    <w:p w:rsidR="000D459D" w:rsidRPr="000D459D" w:rsidRDefault="000D459D" w:rsidP="000D4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Бутафосфан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20%</w:t>
      </w:r>
    </w:p>
    <w:p w:rsidR="000D459D" w:rsidRPr="000D459D" w:rsidRDefault="000D459D" w:rsidP="000D4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Цианокобаламин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(В12) 0.01%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Фармакологические свойства:</w:t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proofErr w:type="spellStart"/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</w:rPr>
        <w:t>Бутафосфан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> — органическое соединение фосфора.</w:t>
      </w:r>
    </w:p>
    <w:p w:rsidR="000D459D" w:rsidRPr="000D459D" w:rsidRDefault="000D459D" w:rsidP="000D4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оказывает влияние на многие ассимиляционные процессы в организме</w:t>
      </w:r>
    </w:p>
    <w:p w:rsidR="000D459D" w:rsidRPr="000D459D" w:rsidRDefault="000D459D" w:rsidP="000D4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стимулирует синтез протеина</w:t>
      </w:r>
    </w:p>
    <w:p w:rsidR="000D459D" w:rsidRPr="000D459D" w:rsidRDefault="000D459D" w:rsidP="000D4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ускоряет рост и развитие животных</w:t>
      </w:r>
    </w:p>
    <w:p w:rsidR="000D459D" w:rsidRPr="000D459D" w:rsidRDefault="000D459D" w:rsidP="000D4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улучшает функцию печени</w:t>
      </w:r>
    </w:p>
    <w:p w:rsidR="000D459D" w:rsidRPr="000D459D" w:rsidRDefault="000D459D" w:rsidP="000D4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повышает </w:t>
      </w:r>
      <w:proofErr w:type="gram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неспецифическую</w:t>
      </w:r>
      <w:proofErr w:type="gram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резистентность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организма</w:t>
      </w:r>
    </w:p>
    <w:p w:rsidR="000D459D" w:rsidRPr="000D459D" w:rsidRDefault="000D459D" w:rsidP="000D4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повышает двигательную активность гладкой мускулатуры</w:t>
      </w:r>
    </w:p>
    <w:p w:rsidR="000D459D" w:rsidRPr="000D459D" w:rsidRDefault="000D459D" w:rsidP="000D4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способствует образованию костной ткани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proofErr w:type="spellStart"/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</w:rPr>
        <w:t>Бутафосфан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 не накапливается в организме и не оказывает побочных эффектов. При стрессовых ситуациях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бутафосфан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нормализует уровень гормона стресса — кортизола, тем самым улучшая утилизацию глюкозы в крови и активизируя энергетический обмен.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proofErr w:type="spellStart"/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</w:rPr>
        <w:t>Цианокобаламин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> - улучшает кислотно-щелочное равновесие организма.</w:t>
      </w:r>
    </w:p>
    <w:p w:rsidR="000D459D" w:rsidRPr="000D459D" w:rsidRDefault="000D459D" w:rsidP="000D45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повышает содержание общего белка в сыворотке крови</w:t>
      </w:r>
    </w:p>
    <w:p w:rsidR="000D459D" w:rsidRPr="000D459D" w:rsidRDefault="000D459D" w:rsidP="000D45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увеличивает количество </w:t>
      </w:r>
      <w:proofErr w:type="spellStart"/>
      <w:proofErr w:type="gram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гамма-глобулинов</w:t>
      </w:r>
      <w:proofErr w:type="spellEnd"/>
      <w:proofErr w:type="gramEnd"/>
    </w:p>
    <w:p w:rsidR="000D459D" w:rsidRPr="000D459D" w:rsidRDefault="000D459D" w:rsidP="000D45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стимулирует выработку антител</w:t>
      </w:r>
    </w:p>
    <w:p w:rsidR="000D459D" w:rsidRPr="000D459D" w:rsidRDefault="000D459D" w:rsidP="000D45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способствует росту и развитию животных.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proofErr w:type="spellStart"/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</w:rPr>
        <w:lastRenderedPageBreak/>
        <w:t>Цианокобаламин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 - является фактором роста, необходимым для нормального кроветворения и созревания эритроцитов; участвует в синтезе лабильных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метильных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групп и в образовании холина, метионина, креатина, нуклеиновых кислот; способствует накоплению в эритроцитах соединений, содержащих сульфгидрильные группы. Оказывает благоприятное влияние на функцию печени и нервной системы.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Способ применения:</w:t>
      </w:r>
    </w:p>
    <w:p w:rsidR="000D459D" w:rsidRPr="000D459D" w:rsidRDefault="000D459D" w:rsidP="000D4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Для повышения сопротивляемости организма к заболеваниям различной этиологии;</w:t>
      </w:r>
    </w:p>
    <w:p w:rsidR="000D459D" w:rsidRPr="000D459D" w:rsidRDefault="000D459D" w:rsidP="000D4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Как дополнительное средство при лечении заболеваний, обусловленных недостатком в организме кальция и магния</w:t>
      </w:r>
    </w:p>
    <w:p w:rsidR="000D459D" w:rsidRPr="000D459D" w:rsidRDefault="000D459D" w:rsidP="000D4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Профилактика послеродовых осложнений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Порядок применения</w:t>
      </w:r>
    </w:p>
    <w:p w:rsidR="000D459D" w:rsidRPr="000D459D" w:rsidRDefault="000D459D" w:rsidP="000D45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Один раз в сутки внутримышечно в течение 3-5 дней подряд.</w:t>
      </w:r>
    </w:p>
    <w:p w:rsidR="000D459D" w:rsidRPr="000D459D" w:rsidRDefault="000D459D" w:rsidP="000D45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Разовые дозы для животных: из расчёта 1 мл/20 кг массы.</w:t>
      </w:r>
    </w:p>
    <w:p w:rsidR="00000000" w:rsidRDefault="000D459D" w:rsidP="000D459D">
      <w:pPr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Продукцию животноводства в период лечения и после применения разрешается использовать без ограничений.</w:t>
      </w:r>
    </w:p>
    <w:p w:rsidR="000D459D" w:rsidRDefault="000D459D" w:rsidP="000D459D">
      <w:pPr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</w:pPr>
    </w:p>
    <w:p w:rsidR="000D459D" w:rsidRDefault="000D459D" w:rsidP="000D459D">
      <w:pPr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Инструкция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Общие сведения</w:t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1.1 Бутамакс-200 (Butamax-200). Международное непатентованное наименование: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бутафосфан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,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цианокобаламин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>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1.2 Лекарственная форма: раствор для внутримышечного применения.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  <w:shd w:val="clear" w:color="auto" w:fill="FFFFFF"/>
        </w:rPr>
        <w:t xml:space="preserve">Бутамакс-200 содержит в качестве действующих веществ: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  <w:shd w:val="clear" w:color="auto" w:fill="FFFFFF"/>
        </w:rPr>
        <w:t>бутафосфан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  <w:shd w:val="clear" w:color="auto" w:fill="FFFFFF"/>
        </w:rPr>
        <w:t xml:space="preserve"> – 200 мг/мл,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  <w:shd w:val="clear" w:color="auto" w:fill="FFFFFF"/>
        </w:rPr>
        <w:t>цианокобаламин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  <w:shd w:val="clear" w:color="auto" w:fill="FFFFFF"/>
        </w:rPr>
        <w:t xml:space="preserve"> – 0,1 мг/мл, а в качестве вспомогательных веществ: метил-4-гидроксибензоат и воду для инъекций.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1.3</w:t>
      </w:r>
      <w:proofErr w:type="gramStart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П</w:t>
      </w:r>
      <w:proofErr w:type="gram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о внешнему виду препарат представляет собой прозрачный раствор от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розового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до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пурпурно-розового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цвета.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1.4 Бутамакс-200 выпускают расфасованным по 100 мл во флаконы из темного стекла соответствующей вместимости, укупоренные резиновыми пробками, укреплёнными алюминиевыми колпачками. Каждую потребительскую упаковку сопровождают инструкцией по применению препарата.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1.5 Препарат хранят в закрытой упаковке производителя в защищенном от прямых солнечных лучей месте, отдельно от продуктов питания и кормов, при температуре от плюс 5</w:t>
      </w:r>
      <w:proofErr w:type="gram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°С</w:t>
      </w:r>
      <w:proofErr w:type="gram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до плюс 25 °С.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1.6 Препарат следует хранить в недоступном для детей месте.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1.7 Срок годности препарата – 2 года от даты производства, после вскрытия упаковки – 28 дней при соблюдении условий хранения.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Запрещается использовать препарат по истечении срока годности.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2. Фармакологические свойства</w:t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lastRenderedPageBreak/>
        <w:br/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2.1 Бутамакс-200 относится к клинико-фармакологической группе лекарственных сре</w:t>
      </w:r>
      <w:proofErr w:type="gram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дств дл</w:t>
      </w:r>
      <w:proofErr w:type="gram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я ветеринарного применения – другие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метаболики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в комбинациях.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2.2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Бутафосфан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– органическое соединение фосфора. Оказывает влияние на многие ассимиляционные процессы в организме, стимулирует синтез протеина, ускоряет рост и развитие животных, улучшает функцию печени, повышает неспецифическую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резистентность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организма и двигательную активность гладкой мускулатуры, способствует образованию костной ткани.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Бутафосфан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не накапливается в организме и не оказывает побочных эффектов. При стрессовых ситуациях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бутафосфан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нормализует уровень гормона стресса – кортизола, тем самым, улучшая утилизацию глюкозы в крови и активизируя энергетический обмен.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Цианокобаламин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является фактором роста, необходимым для нормального кроветворения и созревания эритроцитов; участвует в синтезе лабильных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метильных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групп и в образовании холина, метионина, креатина, нуклеиновых кислот; способствует накоплению в эритроцитах соединений, содержащих сульфгидрильные группы. Оказывает благоприятное влияние на функцию печени и нервной системы.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Цианокобаламин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улучшает кислотно-щелочное равновесие организма, повышает содержание общего белка в сыворотке крови, увеличивает количество </w:t>
      </w:r>
      <w:proofErr w:type="spellStart"/>
      <w:proofErr w:type="gram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гамма-глобулинов</w:t>
      </w:r>
      <w:proofErr w:type="spellEnd"/>
      <w:proofErr w:type="gramEnd"/>
      <w:r w:rsidRPr="000D459D">
        <w:rPr>
          <w:rFonts w:ascii="Arial" w:eastAsia="Times New Roman" w:hAnsi="Arial" w:cs="Arial"/>
          <w:color w:val="69708C"/>
          <w:sz w:val="23"/>
          <w:szCs w:val="23"/>
        </w:rPr>
        <w:t>, стимулирует выработку антител. Он способствует росту и развитию животных.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2.3 Бутамакс-200 по степени воздействия на организм относится к малоопасным веществам (4 класс опасности по ГОСТ 12.1.007-76), в рекомендуемых дозах не оказывает местно-раздражающего,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эмбриотоксического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,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тератогенного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и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гепатотоксического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действия.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3. Порядок применения препарата</w:t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3.1 Препарат применяют для лечения крупного рогатого скота и свиней при нарушениях обмена веществ различной этиологии, отставании в росте и развитии, а также в качестве стимулирующего и тонизирующего средства: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- для повышения сопротивляемости организма к заболеваниям различной этиологии;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- как дополнительное средство при лечении заболеваний, обусловленных недостатком в организме кальция и магния;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- в целях профилактики послеродовых осложнений, активизации родовой деятельности, повышения эффективности искусственного осеменения.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3.2 Бутамакс-200 применяют крупному рогатому скоту и свиньям внутримышечно в дозе 1 мл на 20 кг массы тела животного один раз в сутки в течение 3-5 дней.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3.3 Противопоказанием к применению ветеринарного препарата является повышенная индивидуальная чувствительность животного к компонентам препарата.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3.4 Препарат разрешен к применению беременным и </w:t>
      </w:r>
      <w:proofErr w:type="spellStart"/>
      <w:r w:rsidRPr="000D459D">
        <w:rPr>
          <w:rFonts w:ascii="Arial" w:eastAsia="Times New Roman" w:hAnsi="Arial" w:cs="Arial"/>
          <w:color w:val="69708C"/>
          <w:sz w:val="23"/>
          <w:szCs w:val="23"/>
        </w:rPr>
        <w:t>лактирующим</w:t>
      </w:r>
      <w:proofErr w:type="spellEnd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животным.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3.5</w:t>
      </w:r>
      <w:proofErr w:type="gramStart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П</w:t>
      </w:r>
      <w:proofErr w:type="gramEnd"/>
      <w:r w:rsidRPr="000D459D">
        <w:rPr>
          <w:rFonts w:ascii="Arial" w:eastAsia="Times New Roman" w:hAnsi="Arial" w:cs="Arial"/>
          <w:color w:val="69708C"/>
          <w:sz w:val="23"/>
          <w:szCs w:val="23"/>
        </w:rPr>
        <w:t>ри применении препарата в соответствии с настоящей инструкцией побочных явлений и осложнений у животных не наблюдается. В случае появления аллергических реакций использование препарата прекращают и проводят десенсибилизирующую терапию.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3.6 Симптомов, возникающих при передозировке препарата, у животных не установлено. Не выявлено признаков отравления при 5-ти кратном увеличении максимальной дозы.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3.7 Особенностей взаимодействия бутамакса-200 с препаратами других фармакологических групп и кормовыми добавками не выявлено.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lastRenderedPageBreak/>
        <w:t>3.8 Особенностей действия при первом применении препарата или при его отмене не установлено.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3.9</w:t>
      </w:r>
      <w:proofErr w:type="gramStart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С</w:t>
      </w:r>
      <w:proofErr w:type="gramEnd"/>
      <w:r w:rsidRPr="000D459D">
        <w:rPr>
          <w:rFonts w:ascii="Arial" w:eastAsia="Times New Roman" w:hAnsi="Arial" w:cs="Arial"/>
          <w:color w:val="69708C"/>
          <w:sz w:val="23"/>
          <w:szCs w:val="23"/>
        </w:rPr>
        <w:t>ледует избегать пропуска очередной дозы препарата, так как эго может привести к снижению терапевтической эффективности. При пропуске одной или нескольких доз препарата курс применения необходимо возобновить в предусмотренных дозировках и схеме применения.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3.10 Убой животных на мясо и использование молока в пищевых целях вовремя и после применения препарата разрешается без ограничений.</w:t>
      </w:r>
    </w:p>
    <w:p w:rsidR="000D459D" w:rsidRPr="000D459D" w:rsidRDefault="000D459D" w:rsidP="000D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b/>
          <w:bCs/>
          <w:color w:val="69708C"/>
          <w:sz w:val="23"/>
          <w:szCs w:val="23"/>
          <w:shd w:val="clear" w:color="auto" w:fill="FFFFFF"/>
        </w:rPr>
        <w:t>4. Меры профилактики.</w:t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  <w:r w:rsidRPr="000D459D">
        <w:rPr>
          <w:rFonts w:ascii="Arial" w:eastAsia="Times New Roman" w:hAnsi="Arial" w:cs="Arial"/>
          <w:color w:val="69708C"/>
          <w:sz w:val="23"/>
          <w:szCs w:val="23"/>
        </w:rPr>
        <w:br/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4.1</w:t>
      </w:r>
      <w:proofErr w:type="gramStart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П</w:t>
      </w:r>
      <w:proofErr w:type="gramEnd"/>
      <w:r w:rsidRPr="000D459D">
        <w:rPr>
          <w:rFonts w:ascii="Arial" w:eastAsia="Times New Roman" w:hAnsi="Arial" w:cs="Arial"/>
          <w:color w:val="69708C"/>
          <w:sz w:val="23"/>
          <w:szCs w:val="23"/>
        </w:rPr>
        <w:t>ри работе с препаратом следует соблюдать правила личной гигиены и техники безопасности, предусмотренные при работе с лекарственными средствами для ветеринарного применения.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4.2</w:t>
      </w:r>
      <w:proofErr w:type="gramStart"/>
      <w:r w:rsidRPr="000D459D">
        <w:rPr>
          <w:rFonts w:ascii="Arial" w:eastAsia="Times New Roman" w:hAnsi="Arial" w:cs="Arial"/>
          <w:color w:val="69708C"/>
          <w:sz w:val="23"/>
          <w:szCs w:val="23"/>
        </w:rPr>
        <w:t xml:space="preserve"> П</w:t>
      </w:r>
      <w:proofErr w:type="gramEnd"/>
      <w:r w:rsidRPr="000D459D">
        <w:rPr>
          <w:rFonts w:ascii="Arial" w:eastAsia="Times New Roman" w:hAnsi="Arial" w:cs="Arial"/>
          <w:color w:val="69708C"/>
          <w:sz w:val="23"/>
          <w:szCs w:val="23"/>
        </w:rPr>
        <w:t>ри случайном контакте препарата с кожей или слизистыми оболочками глаз, их необходимо немедленно промыть большим количеством воды.</w:t>
      </w:r>
    </w:p>
    <w:p w:rsidR="000D459D" w:rsidRPr="000D459D" w:rsidRDefault="000D459D" w:rsidP="000D459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69708C"/>
          <w:sz w:val="23"/>
          <w:szCs w:val="23"/>
        </w:rPr>
      </w:pPr>
      <w:r w:rsidRPr="000D459D">
        <w:rPr>
          <w:rFonts w:ascii="Arial" w:eastAsia="Times New Roman" w:hAnsi="Arial" w:cs="Arial"/>
          <w:color w:val="69708C"/>
          <w:sz w:val="23"/>
          <w:szCs w:val="23"/>
        </w:rPr>
        <w:t>4.3 Людям с гиперчувствительностью к компонентам препарата следует избегать прямого контакта с препаратом. В случае появления аллергических реакций обратитесь к врачу (при себе иметь инструкцию по применению или этикетку).</w:t>
      </w:r>
    </w:p>
    <w:p w:rsidR="000D459D" w:rsidRDefault="000D459D" w:rsidP="000D459D"/>
    <w:sectPr w:rsidR="000D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32B4"/>
    <w:multiLevelType w:val="multilevel"/>
    <w:tmpl w:val="D89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872BC"/>
    <w:multiLevelType w:val="multilevel"/>
    <w:tmpl w:val="B72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3635D"/>
    <w:multiLevelType w:val="multilevel"/>
    <w:tmpl w:val="C00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108B1"/>
    <w:multiLevelType w:val="multilevel"/>
    <w:tmpl w:val="5A4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C048D"/>
    <w:multiLevelType w:val="multilevel"/>
    <w:tmpl w:val="868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59D"/>
    <w:rsid w:val="000D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6537</Characters>
  <Application>Microsoft Office Word</Application>
  <DocSecurity>0</DocSecurity>
  <Lines>54</Lines>
  <Paragraphs>15</Paragraphs>
  <ScaleCrop>false</ScaleCrop>
  <Company>HP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Titov</dc:creator>
  <cp:keywords/>
  <dc:description/>
  <cp:lastModifiedBy>Konstantin Titov</cp:lastModifiedBy>
  <cp:revision>3</cp:revision>
  <dcterms:created xsi:type="dcterms:W3CDTF">2021-10-28T08:22:00Z</dcterms:created>
  <dcterms:modified xsi:type="dcterms:W3CDTF">2021-10-28T08:26:00Z</dcterms:modified>
</cp:coreProperties>
</file>